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560" w:lineRule="exact"/>
        <w:rPr>
          <w:b w:val="0"/>
          <w:bCs w:val="0"/>
          <w:color w:val="auto"/>
          <w:sz w:val="32"/>
          <w:szCs w:val="32"/>
          <w:highlight w:val="none"/>
        </w:rPr>
      </w:pPr>
      <w:r>
        <w:rPr>
          <w:rFonts w:hint="eastAsia" w:ascii="仿宋_GB2312" w:hAnsi="Calibri" w:eastAsia="仿宋_GB2312"/>
          <w:b w:val="0"/>
          <w:bCs w:val="0"/>
          <w:color w:val="auto"/>
          <w:sz w:val="32"/>
          <w:szCs w:val="32"/>
          <w:highlight w:val="none"/>
          <w:shd w:val="clear" w:color="auto" w:fill="auto"/>
        </w:rPr>
        <w:t>附件：</w:t>
      </w:r>
    </w:p>
    <w:p>
      <w:pPr>
        <w:spacing w:line="560" w:lineRule="exact"/>
        <w:jc w:val="center"/>
        <w:rPr>
          <w:rFonts w:ascii="黑体" w:hAnsi="黑体" w:eastAsia="黑体" w:cs="黑体"/>
          <w:b/>
          <w:bCs/>
          <w:sz w:val="40"/>
          <w:szCs w:val="40"/>
          <w:highlight w:val="none"/>
          <w14:ligatures w14:val="standardContextual"/>
        </w:rPr>
      </w:pPr>
      <w:r>
        <w:rPr>
          <w:rFonts w:hint="eastAsia" w:ascii="黑体" w:hAnsi="黑体" w:eastAsia="黑体" w:cs="黑体"/>
          <w:b/>
          <w:bCs/>
          <w:sz w:val="40"/>
          <w:szCs w:val="40"/>
          <w:highlight w:val="none"/>
          <w14:ligatures w14:val="standardContextual"/>
        </w:rPr>
        <w:t>存量住房“以旧换新”试点活动操作流程</w:t>
      </w:r>
    </w:p>
    <w:p>
      <w:pPr>
        <w:pStyle w:val="29"/>
        <w:spacing w:line="560" w:lineRule="exact"/>
        <w:ind w:firstLine="643" w:firstLineChars="200"/>
        <w:rPr>
          <w:color w:val="auto"/>
          <w:sz w:val="32"/>
          <w:szCs w:val="32"/>
          <w:highlight w:val="none"/>
        </w:rPr>
      </w:pP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一、信息登记</w:t>
      </w:r>
    </w:p>
    <w:p>
      <w:pPr>
        <w:spacing w:line="560" w:lineRule="exact"/>
        <w:ind w:firstLine="640" w:firstLineChars="200"/>
        <w:rPr>
          <w:rFonts w:hint="default" w:ascii="方正仿宋_GB2312" w:hAnsi="方正仿宋_GB2312" w:eastAsia="方正仿宋_GB2312" w:cs="仿宋"/>
          <w:color w:val="333333"/>
          <w:kern w:val="0"/>
          <w:sz w:val="32"/>
          <w:szCs w:val="32"/>
          <w:highlight w:val="none"/>
          <w:shd w:val="clear" w:color="auto" w:fill="FFFFFF"/>
          <w:lang w:val="en-US"/>
        </w:rPr>
      </w:pPr>
      <w:r>
        <w:rPr>
          <w:rFonts w:hint="eastAsia" w:ascii="方正仿宋_GB2312" w:hAnsi="方正仿宋_GB2312" w:eastAsia="方正仿宋_GB2312" w:cs="仿宋"/>
          <w:color w:val="333333"/>
          <w:kern w:val="0"/>
          <w:sz w:val="32"/>
          <w:szCs w:val="32"/>
          <w:highlight w:val="none"/>
          <w:shd w:val="clear" w:color="auto" w:fill="FFFFFF"/>
          <w:lang w:val="en-US"/>
        </w:rPr>
        <w:t>通过“南京房产微政务”微信公众号，登录“房帮宁”</w:t>
      </w:r>
      <w:r>
        <w:rPr>
          <w:rFonts w:hint="default" w:ascii="方正仿宋_GB2312" w:hAnsi="方正仿宋_GB2312" w:eastAsia="方正仿宋_GB2312" w:cs="仿宋"/>
          <w:color w:val="333333"/>
          <w:kern w:val="0"/>
          <w:sz w:val="32"/>
          <w:szCs w:val="32"/>
          <w:highlight w:val="none"/>
          <w:shd w:val="clear" w:color="auto" w:fill="FFFFFF"/>
          <w:lang w:val="en-US"/>
        </w:rPr>
        <w:t>平台</w:t>
      </w:r>
      <w:r>
        <w:rPr>
          <w:rFonts w:hint="eastAsia" w:ascii="方正仿宋_GB2312" w:hAnsi="方正仿宋_GB2312" w:eastAsia="方正仿宋_GB2312" w:cs="仿宋"/>
          <w:color w:val="333333"/>
          <w:kern w:val="0"/>
          <w:sz w:val="32"/>
          <w:szCs w:val="32"/>
          <w:highlight w:val="none"/>
          <w:shd w:val="clear" w:color="auto" w:fill="FFFFFF"/>
          <w:lang w:val="en-US"/>
        </w:rPr>
        <w:t>首页。在“宁换新”模块，完成存量住房的物权核验后，挑选意向购买的新建商品住宅项目，并办理</w:t>
      </w:r>
      <w:bookmarkStart w:id="1" w:name="_GoBack"/>
      <w:bookmarkEnd w:id="1"/>
      <w:r>
        <w:rPr>
          <w:rFonts w:hint="eastAsia" w:ascii="方正仿宋_GB2312" w:hAnsi="方正仿宋_GB2312" w:eastAsia="方正仿宋_GB2312" w:cs="仿宋"/>
          <w:color w:val="333333"/>
          <w:kern w:val="0"/>
          <w:sz w:val="32"/>
          <w:szCs w:val="32"/>
          <w:highlight w:val="none"/>
          <w:shd w:val="clear" w:color="auto" w:fill="FFFFFF"/>
          <w:lang w:val="en-US"/>
        </w:rPr>
        <w:t>报名手续。</w:t>
      </w:r>
    </w:p>
    <w:p>
      <w:pPr>
        <w:spacing w:line="560" w:lineRule="exact"/>
        <w:ind w:firstLine="640" w:firstLineChars="200"/>
        <w:rPr>
          <w:rFonts w:ascii="黑体" w:hAnsi="黑体" w:eastAsia="黑体" w:cs="黑体"/>
          <w:sz w:val="32"/>
          <w:szCs w:val="32"/>
          <w:highlight w:val="none"/>
        </w:rPr>
      </w:pPr>
      <w:r>
        <w:rPr>
          <w:rFonts w:hint="default" w:ascii="黑体" w:hAnsi="黑体" w:eastAsia="黑体" w:cs="黑体"/>
          <w:sz w:val="32"/>
          <w:szCs w:val="32"/>
          <w:highlight w:val="none"/>
          <w:lang w:val="en-US"/>
        </w:rPr>
        <w:t>二</w:t>
      </w:r>
      <w:r>
        <w:rPr>
          <w:rFonts w:hint="eastAsia" w:ascii="黑体" w:hAnsi="黑体" w:eastAsia="黑体" w:cs="黑体"/>
          <w:sz w:val="32"/>
          <w:szCs w:val="32"/>
          <w:highlight w:val="none"/>
        </w:rPr>
        <w:t>、验房评估</w:t>
      </w:r>
    </w:p>
    <w:p>
      <w:pPr>
        <w:spacing w:line="560" w:lineRule="exact"/>
        <w:ind w:firstLine="640" w:firstLineChars="200"/>
        <w:rPr>
          <w:rFonts w:hint="default" w:ascii="黑体" w:hAnsi="黑体" w:eastAsia="黑体" w:cs="黑体"/>
          <w:sz w:val="32"/>
          <w:szCs w:val="32"/>
          <w:highlight w:val="none"/>
          <w:lang w:val="en-US"/>
        </w:rPr>
      </w:pPr>
      <w:r>
        <w:rPr>
          <w:rFonts w:hint="default" w:ascii="方正仿宋_GB2312" w:hAnsi="方正仿宋_GB2312" w:eastAsia="方正仿宋_GB2312" w:cs="仿宋"/>
          <w:color w:val="333333"/>
          <w:kern w:val="0"/>
          <w:sz w:val="32"/>
          <w:szCs w:val="32"/>
          <w:highlight w:val="none"/>
          <w:shd w:val="clear" w:color="auto" w:fill="FFFFFF"/>
          <w:lang w:val="en-US"/>
        </w:rPr>
        <w:t>由南京置新资产管理有限公司遴选信用好、业务强的评估机构，形成评估机构名单库，邀请换购人代表一起从评估机构名单库中随机抽取 3 家评估机构进行评估，分别对拟收购的存量住房进行交易价格评估（换购人不承担评估费用），取排序中间的评估值作为最终收购价格。</w:t>
      </w:r>
    </w:p>
    <w:p>
      <w:pPr>
        <w:spacing w:line="560" w:lineRule="exact"/>
        <w:ind w:firstLine="640" w:firstLineChars="200"/>
        <w:rPr>
          <w:rFonts w:ascii="黑体" w:hAnsi="黑体" w:eastAsia="黑体" w:cs="黑体"/>
          <w:sz w:val="32"/>
          <w:szCs w:val="32"/>
          <w:highlight w:val="none"/>
        </w:rPr>
      </w:pPr>
      <w:r>
        <w:rPr>
          <w:rFonts w:hint="default" w:ascii="黑体" w:hAnsi="黑体" w:eastAsia="黑体" w:cs="黑体"/>
          <w:sz w:val="32"/>
          <w:szCs w:val="32"/>
          <w:highlight w:val="none"/>
          <w:lang w:val="en-US"/>
        </w:rPr>
        <w:t>三</w:t>
      </w:r>
      <w:r>
        <w:rPr>
          <w:rFonts w:hint="eastAsia" w:ascii="黑体" w:hAnsi="黑体" w:eastAsia="黑体" w:cs="黑体"/>
          <w:sz w:val="32"/>
          <w:szCs w:val="32"/>
          <w:highlight w:val="none"/>
        </w:rPr>
        <w:t>、签订《以旧换新协议》</w:t>
      </w:r>
    </w:p>
    <w:p>
      <w:pPr>
        <w:spacing w:line="560" w:lineRule="exact"/>
        <w:ind w:firstLine="640"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以旧换新协议》由换购人、置新公司、新建商品住房开发公司、市房地产市场交易中心签订，主要目的为明确“以旧换新”交易的相关步骤，以及各方在交易全过程中的权责等内容，其中对于资金监管及流转的约定如下：</w:t>
      </w:r>
    </w:p>
    <w:p>
      <w:pPr>
        <w:spacing w:line="560" w:lineRule="exact"/>
        <w:ind w:firstLine="640"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1.置新公司将存量住房房款全额转入市房地产市场交易中心存量住房监管账户。</w:t>
      </w:r>
    </w:p>
    <w:p>
      <w:pPr>
        <w:spacing w:line="560" w:lineRule="exact"/>
        <w:ind w:firstLine="640"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2.如果换购人选购的新建商品住房为期房，待存量住房转移登记和新建商品住房买卖合同签订完成后，存量房交易资金监管机构将存量住房监管资金转入新购商品住房的预售资金监管账户。</w:t>
      </w:r>
    </w:p>
    <w:p>
      <w:pPr>
        <w:widowControl w:val="0"/>
        <w:spacing w:line="560" w:lineRule="exact"/>
        <w:ind w:firstLine="640"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3.如果换购人选购的新建商品住房为现房，则在完成存量住房转移登记，并在办理新建商品住房首次转移登记前，存量房交易资金监管机构将存量住房监管资金转入新建商品住房开发公司。</w:t>
      </w:r>
    </w:p>
    <w:p>
      <w:pPr>
        <w:spacing w:line="560" w:lineRule="exact"/>
        <w:ind w:firstLine="640" w:firstLineChars="200"/>
        <w:rPr>
          <w:rFonts w:ascii="黑体" w:hAnsi="黑体" w:eastAsia="黑体" w:cs="黑体"/>
          <w:sz w:val="32"/>
          <w:szCs w:val="32"/>
          <w:highlight w:val="none"/>
        </w:rPr>
      </w:pPr>
      <w:r>
        <w:rPr>
          <w:rFonts w:hint="default" w:ascii="黑体" w:hAnsi="黑体" w:eastAsia="黑体" w:cs="黑体"/>
          <w:sz w:val="32"/>
          <w:szCs w:val="32"/>
          <w:highlight w:val="none"/>
          <w:lang w:val="en-US"/>
        </w:rPr>
        <w:t>四</w:t>
      </w:r>
      <w:r>
        <w:rPr>
          <w:rFonts w:hint="eastAsia" w:ascii="黑体" w:hAnsi="黑体" w:eastAsia="黑体" w:cs="黑体"/>
          <w:sz w:val="32"/>
          <w:szCs w:val="32"/>
          <w:highlight w:val="none"/>
        </w:rPr>
        <w:t>、核验交易资格</w:t>
      </w:r>
    </w:p>
    <w:p>
      <w:pPr>
        <w:widowControl w:val="0"/>
        <w:spacing w:line="560" w:lineRule="exact"/>
        <w:ind w:firstLine="640" w:firstLineChars="200"/>
        <w:rPr>
          <w:sz w:val="32"/>
          <w:szCs w:val="32"/>
          <w:highlight w:val="none"/>
        </w:rPr>
      </w:pPr>
      <w:r>
        <w:rPr>
          <w:rFonts w:hint="eastAsia" w:ascii="方正仿宋_GB2312" w:hAnsi="方正仿宋_GB2312" w:eastAsia="方正仿宋_GB2312" w:cs="方正仿宋_GB2312"/>
          <w:sz w:val="32"/>
          <w:szCs w:val="32"/>
          <w:highlight w:val="none"/>
        </w:rPr>
        <w:t>在交易启动前，由房产管理部门核验是否存在抵押、担保或查封等情况，并预审是否可交易。</w:t>
      </w:r>
    </w:p>
    <w:p>
      <w:pPr>
        <w:spacing w:line="560" w:lineRule="exact"/>
        <w:ind w:firstLine="640" w:firstLineChars="200"/>
        <w:rPr>
          <w:rFonts w:ascii="黑体" w:hAnsi="黑体" w:eastAsia="黑体" w:cs="黑体"/>
          <w:sz w:val="32"/>
          <w:szCs w:val="32"/>
          <w:highlight w:val="none"/>
        </w:rPr>
      </w:pPr>
      <w:bookmarkStart w:id="0" w:name="_Hlk163223095"/>
      <w:r>
        <w:rPr>
          <w:rFonts w:hint="default" w:ascii="黑体" w:hAnsi="黑体" w:eastAsia="黑体" w:cs="黑体"/>
          <w:sz w:val="32"/>
          <w:szCs w:val="32"/>
          <w:highlight w:val="none"/>
          <w:lang w:val="en-US"/>
        </w:rPr>
        <w:t>五</w:t>
      </w:r>
      <w:r>
        <w:rPr>
          <w:rFonts w:hint="eastAsia" w:ascii="黑体" w:hAnsi="黑体" w:eastAsia="黑体" w:cs="黑体"/>
          <w:sz w:val="32"/>
          <w:szCs w:val="32"/>
          <w:highlight w:val="none"/>
        </w:rPr>
        <w:t>、产权过户</w:t>
      </w:r>
    </w:p>
    <w:p>
      <w:pPr>
        <w:spacing w:line="560" w:lineRule="exact"/>
        <w:ind w:firstLine="640"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换购人与置新公司签订《存量房买卖合同》及《存量房资金监管合同》，</w:t>
      </w:r>
      <w:bookmarkEnd w:id="0"/>
      <w:r>
        <w:rPr>
          <w:rFonts w:hint="eastAsia" w:ascii="方正仿宋_GB2312" w:hAnsi="方正仿宋_GB2312" w:eastAsia="方正仿宋_GB2312" w:cs="方正仿宋_GB2312"/>
          <w:sz w:val="32"/>
          <w:szCs w:val="32"/>
          <w:highlight w:val="none"/>
        </w:rPr>
        <w:t>同步与新建商品住房开发公司签订《商品房买卖合同》，并根据《以旧换新协议》履行相关流程，完成相关过户手续和不动产登记。</w:t>
      </w:r>
    </w:p>
    <w:p>
      <w:pPr>
        <w:spacing w:line="560" w:lineRule="exact"/>
        <w:ind w:firstLine="640" w:firstLineChars="200"/>
        <w:rPr>
          <w:rFonts w:ascii="黑体" w:hAnsi="黑体" w:eastAsia="黑体" w:cs="黑体"/>
          <w:sz w:val="32"/>
          <w:szCs w:val="32"/>
          <w:highlight w:val="none"/>
        </w:rPr>
      </w:pPr>
      <w:r>
        <w:rPr>
          <w:rFonts w:hint="default" w:ascii="黑体" w:hAnsi="黑体" w:eastAsia="黑体" w:cs="黑体"/>
          <w:sz w:val="32"/>
          <w:szCs w:val="32"/>
          <w:highlight w:val="none"/>
          <w:lang w:val="en-US"/>
        </w:rPr>
        <w:t>六</w:t>
      </w:r>
      <w:r>
        <w:rPr>
          <w:rFonts w:hint="eastAsia" w:ascii="黑体" w:hAnsi="黑体" w:eastAsia="黑体" w:cs="黑体"/>
          <w:sz w:val="32"/>
          <w:szCs w:val="32"/>
          <w:highlight w:val="none"/>
        </w:rPr>
        <w:t>、房屋交接</w:t>
      </w:r>
    </w:p>
    <w:p>
      <w:pPr>
        <w:spacing w:line="560" w:lineRule="exact"/>
        <w:ind w:firstLine="640"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换购人与置新公司办理存量住房交接手续，包括但不限于物业费、水电煤气等能耗费用的结清。</w:t>
      </w:r>
    </w:p>
    <w:p>
      <w:pPr>
        <w:spacing w:line="560" w:lineRule="exact"/>
        <w:ind w:firstLine="600" w:firstLineChars="200"/>
        <w:rPr>
          <w:rFonts w:ascii="黑体" w:hAnsi="黑体" w:eastAsia="黑体" w:cs="黑体"/>
          <w:sz w:val="30"/>
          <w:szCs w:val="30"/>
          <w:highlight w:val="none"/>
        </w:rPr>
      </w:pPr>
    </w:p>
    <w:p>
      <w:pPr>
        <w:spacing w:line="560" w:lineRule="exact"/>
        <w:ind w:firstLine="640" w:firstLineChars="200"/>
        <w:rPr>
          <w:rFonts w:ascii="仿宋" w:hAnsi="仿宋" w:eastAsia="仿宋" w:cs="仿宋"/>
          <w:sz w:val="32"/>
          <w:szCs w:val="32"/>
          <w:highlight w:val="none"/>
        </w:rPr>
      </w:pP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9C85CC-0657-41A7-8382-3F5BA7828B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8C97EEB-6A73-4B60-BAE8-841414896C1C}"/>
  </w:font>
  <w:font w:name="仿宋_GB2312">
    <w:panose1 w:val="02010609030101010101"/>
    <w:charset w:val="86"/>
    <w:family w:val="modern"/>
    <w:pitch w:val="default"/>
    <w:sig w:usb0="00000001" w:usb1="080E0000" w:usb2="00000000" w:usb3="00000000" w:csb0="00040000" w:csb1="00000000"/>
    <w:embedRegular r:id="rId3" w:fontKey="{EFDD2CED-ECB9-4041-BE47-058CE3118028}"/>
  </w:font>
  <w:font w:name="方正仿宋_GB2312">
    <w:altName w:val="微软雅黑"/>
    <w:panose1 w:val="00000000000000000000"/>
    <w:charset w:val="86"/>
    <w:family w:val="auto"/>
    <w:pitch w:val="default"/>
    <w:sig w:usb0="00000000" w:usb1="00000000" w:usb2="00000012" w:usb3="00000000" w:csb0="00040001" w:csb1="00000000"/>
    <w:embedRegular r:id="rId4" w:fontKey="{49514EB9-66DD-4F3F-AA0E-8072800A9BDD}"/>
  </w:font>
  <w:font w:name="仿宋">
    <w:panose1 w:val="02010609060101010101"/>
    <w:charset w:val="86"/>
    <w:family w:val="modern"/>
    <w:pitch w:val="default"/>
    <w:sig w:usb0="800002BF" w:usb1="38CF7CFA" w:usb2="00000016" w:usb3="00000000" w:csb0="00040001" w:csb1="00000000"/>
    <w:embedRegular r:id="rId5" w:fontKey="{F8F8B9F0-238A-49D1-A546-1192212FADCF}"/>
  </w:font>
  <w:font w:name="方正仿宋_GBK">
    <w:altName w:val="微软雅黑"/>
    <w:panose1 w:val="03000509000000000000"/>
    <w:charset w:val="86"/>
    <w:family w:val="script"/>
    <w:pitch w:val="default"/>
    <w:sig w:usb0="00000000" w:usb1="00000000" w:usb2="00000010" w:usb3="00000000" w:csb0="00040000" w:csb1="00000000"/>
    <w:embedRegular r:id="rId6" w:fontKey="{2173FF5C-E487-4343-9034-CBCDD6336DD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eastAsia="方正仿宋_GBK"/>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442595" cy="162560"/>
              <wp:effectExtent l="0" t="0" r="0" b="0"/>
              <wp:wrapNone/>
              <wp:docPr id="4097" name="文本框 1992797443"/>
              <wp:cNvGraphicFramePr/>
              <a:graphic xmlns:a="http://schemas.openxmlformats.org/drawingml/2006/main">
                <a:graphicData uri="http://schemas.microsoft.com/office/word/2010/wordprocessingShape">
                  <wps:wsp>
                    <wps:cNvSpPr/>
                    <wps:spPr>
                      <a:xfrm>
                        <a:off x="0" y="0"/>
                        <a:ext cx="442594" cy="162560"/>
                      </a:xfrm>
                      <a:prstGeom prst="rect">
                        <a:avLst/>
                      </a:prstGeom>
                      <a:ln>
                        <a:noFill/>
                      </a:ln>
                    </wps:spPr>
                    <wps:txbx>
                      <w:txbxContent>
                        <w:p>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vert="horz" wrap="none" lIns="0" tIns="0" rIns="0" bIns="0" anchor="t">
                      <a:spAutoFit/>
                    </wps:bodyPr>
                  </wps:wsp>
                </a:graphicData>
              </a:graphic>
            </wp:anchor>
          </w:drawing>
        </mc:Choice>
        <mc:Fallback>
          <w:pict>
            <v:rect id="文本框 1992797443" o:spid="_x0000_s1026" o:spt="1" style="position:absolute;left:0pt;margin-top:0pt;height:12.8pt;width:34.85pt;mso-position-horizontal:outside;mso-position-horizontal-relative:margin;mso-wrap-style:none;z-index:251659264;mso-width-relative:page;mso-height-relative:page;" filled="f" stroked="f" coordsize="21600,21600" o:gfxdata="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EYwcdIAAAADAQAADwAAAAAAAAABACAAAAAi&#10;AAAAZHJzL2Rvd25yZXYueG1sUEsBAhQAFAAAAAgAh07iQMR6s1bXAQAAmQMAAA4AAAAAAAAAAQAg&#10;AAAAIQEAAGRycy9lMm9Eb2MueG1sUEsFBgAAAAAGAAYAWQEAAGoFAAAAAA==&#10;">
              <v:fill on="f" focussize="0,0"/>
              <v:stroke on="f"/>
              <v:imagedata o:title=""/>
              <o:lock v:ext="edit" aspectratio="f"/>
              <v:textbox inset="0mm,0mm,0mm,0mm" style="mso-fit-shape-to-text:t;">
                <w:txbxContent>
                  <w:p>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MTliMmE5MmZjZDI2NmM2YzNkMDE0YTk2MzAzZWEifQ=="/>
    <w:docVar w:name="KSO_WPS_MARK_KEY" w:val="3c3b3806-3c13-4999-9358-809eac0e9db4"/>
  </w:docVars>
  <w:rsids>
    <w:rsidRoot w:val="00000000"/>
    <w:rsid w:val="3EBC51CA"/>
    <w:rsid w:val="42DE19A4"/>
    <w:rsid w:val="7EC55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0">
    <w:name w:val="Default Paragraph Font"/>
    <w:uiPriority w:val="1"/>
  </w:style>
  <w:style w:type="table" w:default="1" w:styleId="9">
    <w:name w:val="Normal Table"/>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Date"/>
    <w:basedOn w:val="1"/>
    <w:next w:val="1"/>
    <w:link w:val="24"/>
    <w:qFormat/>
    <w:uiPriority w:val="0"/>
    <w:pPr>
      <w:ind w:left="100" w:leftChars="2500"/>
    </w:pPr>
  </w:style>
  <w:style w:type="paragraph" w:styleId="5">
    <w:name w:val="Balloon Text"/>
    <w:basedOn w:val="1"/>
    <w:link w:val="27"/>
    <w:qFormat/>
    <w:uiPriority w:val="99"/>
    <w:rPr>
      <w:sz w:val="18"/>
      <w:szCs w:val="18"/>
    </w:rPr>
  </w:style>
  <w:style w:type="paragraph" w:styleId="6">
    <w:name w:val="footer"/>
    <w:basedOn w:val="1"/>
    <w:link w:val="26"/>
    <w:qFormat/>
    <w:uiPriority w:val="99"/>
    <w:pPr>
      <w:tabs>
        <w:tab w:val="center" w:pos="4153"/>
        <w:tab w:val="right" w:pos="8306"/>
      </w:tabs>
      <w:snapToGrid w:val="0"/>
      <w:jc w:val="left"/>
    </w:pPr>
    <w:rPr>
      <w:sz w:val="18"/>
      <w:szCs w:val="18"/>
    </w:rPr>
  </w:style>
  <w:style w:type="paragraph" w:styleId="7">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styleId="11">
    <w:name w:val="Strong"/>
    <w:basedOn w:val="10"/>
    <w:qFormat/>
    <w:uiPriority w:val="0"/>
    <w:rPr>
      <w:b/>
    </w:rPr>
  </w:style>
  <w:style w:type="character" w:styleId="12">
    <w:name w:val="Hyperlink"/>
    <w:basedOn w:val="10"/>
    <w:qFormat/>
    <w:uiPriority w:val="99"/>
    <w:rPr>
      <w:color w:val="0563C1"/>
      <w:u w:val="single"/>
    </w:rPr>
  </w:style>
  <w:style w:type="character" w:styleId="13">
    <w:name w:val="HTML Code"/>
    <w:qFormat/>
    <w:uiPriority w:val="99"/>
    <w:rPr>
      <w:rFonts w:hint="eastAsia" w:ascii="宋体" w:hAnsi="宋体" w:eastAsia="宋体" w:cs="宋体"/>
      <w:sz w:val="24"/>
      <w:szCs w:val="24"/>
    </w:rPr>
  </w:style>
  <w:style w:type="character" w:customStyle="1" w:styleId="14">
    <w:name w:val="NormalCharacter"/>
    <w:qFormat/>
    <w:uiPriority w:val="0"/>
  </w:style>
  <w:style w:type="table" w:customStyle="1" w:styleId="15">
    <w:name w:val="TableNormal"/>
    <w:qFormat/>
    <w:uiPriority w:val="0"/>
    <w:tblPr>
      <w:tblCellMar>
        <w:top w:w="0" w:type="dxa"/>
        <w:left w:w="0" w:type="dxa"/>
        <w:bottom w:w="0" w:type="dxa"/>
        <w:right w:w="0" w:type="dxa"/>
      </w:tblCellMar>
    </w:tblPr>
  </w:style>
  <w:style w:type="paragraph" w:customStyle="1" w:styleId="16">
    <w:name w:val="179"/>
    <w:basedOn w:val="1"/>
    <w:qFormat/>
    <w:uiPriority w:val="0"/>
    <w:pPr>
      <w:ind w:firstLine="420" w:firstLineChars="200"/>
    </w:pPr>
  </w:style>
  <w:style w:type="paragraph" w:customStyle="1" w:styleId="17">
    <w:name w:val="页眉1"/>
    <w:basedOn w:val="1"/>
    <w:link w:val="18"/>
    <w:qFormat/>
    <w:uiPriority w:val="0"/>
    <w:pPr>
      <w:pBdr>
        <w:bottom w:val="single" w:color="000000" w:sz="6" w:space="1"/>
      </w:pBdr>
      <w:tabs>
        <w:tab w:val="center" w:pos="4153"/>
        <w:tab w:val="right" w:pos="8306"/>
      </w:tabs>
      <w:snapToGrid w:val="0"/>
      <w:jc w:val="center"/>
    </w:pPr>
    <w:rPr>
      <w:sz w:val="18"/>
      <w:szCs w:val="18"/>
    </w:rPr>
  </w:style>
  <w:style w:type="character" w:customStyle="1" w:styleId="18">
    <w:name w:val="UserStyle_0"/>
    <w:basedOn w:val="14"/>
    <w:link w:val="17"/>
    <w:qFormat/>
    <w:uiPriority w:val="0"/>
    <w:rPr>
      <w:kern w:val="2"/>
      <w:sz w:val="18"/>
      <w:szCs w:val="18"/>
    </w:rPr>
  </w:style>
  <w:style w:type="paragraph" w:customStyle="1" w:styleId="19">
    <w:name w:val="页脚1"/>
    <w:basedOn w:val="1"/>
    <w:link w:val="20"/>
    <w:qFormat/>
    <w:uiPriority w:val="0"/>
    <w:pPr>
      <w:tabs>
        <w:tab w:val="center" w:pos="4153"/>
        <w:tab w:val="right" w:pos="8306"/>
      </w:tabs>
      <w:snapToGrid w:val="0"/>
      <w:jc w:val="left"/>
    </w:pPr>
    <w:rPr>
      <w:sz w:val="18"/>
      <w:szCs w:val="18"/>
    </w:rPr>
  </w:style>
  <w:style w:type="character" w:customStyle="1" w:styleId="20">
    <w:name w:val="UserStyle_1"/>
    <w:basedOn w:val="14"/>
    <w:link w:val="19"/>
    <w:qFormat/>
    <w:uiPriority w:val="0"/>
    <w:rPr>
      <w:kern w:val="2"/>
      <w:sz w:val="18"/>
      <w:szCs w:val="18"/>
    </w:rPr>
  </w:style>
  <w:style w:type="paragraph" w:customStyle="1" w:styleId="21">
    <w:name w:val="HtmlNormal"/>
    <w:basedOn w:val="1"/>
    <w:qFormat/>
    <w:uiPriority w:val="0"/>
    <w:pPr>
      <w:spacing w:beforeAutospacing="1" w:afterAutospacing="1"/>
      <w:jc w:val="left"/>
    </w:pPr>
    <w:rPr>
      <w:kern w:val="0"/>
      <w:sz w:val="24"/>
    </w:rPr>
  </w:style>
  <w:style w:type="paragraph" w:customStyle="1" w:styleId="22">
    <w:name w:val="Acetate"/>
    <w:basedOn w:val="1"/>
    <w:link w:val="23"/>
    <w:qFormat/>
    <w:uiPriority w:val="0"/>
    <w:rPr>
      <w:sz w:val="18"/>
      <w:szCs w:val="18"/>
    </w:rPr>
  </w:style>
  <w:style w:type="character" w:customStyle="1" w:styleId="23">
    <w:name w:val="UserStyle_2"/>
    <w:basedOn w:val="14"/>
    <w:link w:val="22"/>
    <w:qFormat/>
    <w:uiPriority w:val="0"/>
    <w:rPr>
      <w:kern w:val="2"/>
      <w:sz w:val="18"/>
      <w:szCs w:val="18"/>
    </w:rPr>
  </w:style>
  <w:style w:type="character" w:customStyle="1" w:styleId="24">
    <w:name w:val="日期 字符"/>
    <w:basedOn w:val="14"/>
    <w:link w:val="4"/>
    <w:qFormat/>
    <w:uiPriority w:val="0"/>
    <w:rPr>
      <w:kern w:val="2"/>
      <w:sz w:val="21"/>
      <w:szCs w:val="22"/>
    </w:rPr>
  </w:style>
  <w:style w:type="character" w:customStyle="1" w:styleId="25">
    <w:name w:val="页眉 字符"/>
    <w:basedOn w:val="10"/>
    <w:link w:val="7"/>
    <w:qFormat/>
    <w:uiPriority w:val="99"/>
    <w:rPr>
      <w:kern w:val="2"/>
      <w:sz w:val="18"/>
      <w:szCs w:val="18"/>
    </w:rPr>
  </w:style>
  <w:style w:type="character" w:customStyle="1" w:styleId="26">
    <w:name w:val="页脚 字符"/>
    <w:basedOn w:val="10"/>
    <w:link w:val="6"/>
    <w:qFormat/>
    <w:uiPriority w:val="99"/>
    <w:rPr>
      <w:kern w:val="2"/>
      <w:sz w:val="18"/>
      <w:szCs w:val="18"/>
    </w:rPr>
  </w:style>
  <w:style w:type="character" w:customStyle="1" w:styleId="27">
    <w:name w:val="批注框文本 字符"/>
    <w:basedOn w:val="10"/>
    <w:link w:val="5"/>
    <w:qFormat/>
    <w:uiPriority w:val="99"/>
    <w:rPr>
      <w:kern w:val="2"/>
      <w:sz w:val="18"/>
      <w:szCs w:val="18"/>
    </w:rPr>
  </w:style>
  <w:style w:type="paragraph" w:customStyle="1" w:styleId="28">
    <w:name w:val="List Paragraph_2e61c526-2b79-49f3-9790-dc07cbda946a"/>
    <w:basedOn w:val="1"/>
    <w:qFormat/>
    <w:uiPriority w:val="34"/>
    <w:pPr>
      <w:ind w:firstLine="420" w:firstLineChars="200"/>
    </w:pPr>
  </w:style>
  <w:style w:type="paragraph" w:customStyle="1" w:styleId="29">
    <w:name w:val="列表段落11"/>
    <w:basedOn w:val="1"/>
    <w:qFormat/>
    <w:uiPriority w:val="0"/>
    <w:rPr>
      <w:rFonts w:ascii="黑体" w:hAnsi="黑体" w:eastAsia="黑体"/>
      <w:b/>
      <w:bCs/>
      <w:color w:val="00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733</Words>
  <Characters>736</Characters>
  <Paragraphs>62</Paragraphs>
  <TotalTime>19</TotalTime>
  <ScaleCrop>false</ScaleCrop>
  <LinksUpToDate>false</LinksUpToDate>
  <CharactersWithSpaces>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2023-07-27T00:46:00Z</dcterms:created>
  <dc:creator>Administrator</dc:creator>
  <cp:lastModifiedBy>高朙</cp:lastModifiedBy>
  <cp:lastPrinted>2024-04-26T08:22:00Z</cp:lastPrinted>
  <dcterms:modified xsi:type="dcterms:W3CDTF">2024-04-27T09:57:25Z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D72E8A337306423D9422ACB9B5A905EA_13</vt:lpwstr>
  </property>
</Properties>
</file>